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27" w:rsidRPr="00F31827" w:rsidRDefault="00F31827" w:rsidP="00F31827">
      <w:pPr>
        <w:jc w:val="center"/>
        <w:rPr>
          <w:b/>
          <w:bCs/>
          <w:sz w:val="20"/>
          <w:szCs w:val="20"/>
        </w:rPr>
      </w:pPr>
      <w:bookmarkStart w:id="0" w:name="_GoBack"/>
      <w:bookmarkEnd w:id="0"/>
      <w:r w:rsidRPr="00F31827">
        <w:rPr>
          <w:b/>
          <w:bCs/>
          <w:sz w:val="20"/>
          <w:szCs w:val="20"/>
        </w:rPr>
        <w:t xml:space="preserve">Eine Seemeile ist ein nautisches Entfernungs- und Geschwindigkeitsmaß, das aus dem Äquatorumfang der Erde abgeleitet wurde und mit seinen 1852 m die Länge einer Bogenminute auf der Erde  oder  der 360° mal 60' = 21 600. Teil des mittleren Erdumfangs  ( 1852 m )  entspricht. </w:t>
      </w:r>
    </w:p>
    <w:p w:rsidR="00F31827" w:rsidRPr="00F31827" w:rsidRDefault="00F31827" w:rsidP="00F31827">
      <w:pPr>
        <w:jc w:val="center"/>
        <w:rPr>
          <w:b/>
          <w:bCs/>
          <w:sz w:val="20"/>
          <w:szCs w:val="20"/>
        </w:rPr>
      </w:pPr>
      <w:r w:rsidRPr="00F31827">
        <w:rPr>
          <w:b/>
          <w:bCs/>
          <w:sz w:val="20"/>
          <w:szCs w:val="20"/>
        </w:rPr>
        <w:pict>
          <v:rect id="_x0000_i1025" style="width:453.6pt;height:.75pt" o:hralign="center" o:hrstd="t" o:hrnoshade="t" o:hr="t" fillcolor="#aca899" stroked="f"/>
        </w:pict>
      </w:r>
    </w:p>
    <w:p w:rsidR="00F31827" w:rsidRPr="00F31827" w:rsidRDefault="00F31827" w:rsidP="00F31827">
      <w:pPr>
        <w:jc w:val="center"/>
        <w:rPr>
          <w:rFonts w:ascii="Times New Roman" w:hAnsi="Times New Roman" w:cs="Times New Roman"/>
        </w:rPr>
      </w:pPr>
      <w:r w:rsidRPr="00F31827">
        <w:rPr>
          <w:b/>
          <w:bCs/>
          <w:sz w:val="20"/>
          <w:szCs w:val="20"/>
        </w:rPr>
        <w:t>Die Geschwindigkeit in der Schiffahrt wird in Seemeilen pro Stunde ( sm/h ) oder in Knoten ( kn ) angegeben. </w:t>
      </w:r>
      <w:r w:rsidRPr="00F31827">
        <w:rPr>
          <w:rFonts w:ascii="Times New Roman" w:hAnsi="Times New Roman" w:cs="Times New Roman"/>
        </w:rPr>
        <w:br/>
      </w:r>
      <w:r w:rsidRPr="00F31827">
        <w:rPr>
          <w:b/>
          <w:bCs/>
          <w:color w:val="CC0000"/>
          <w:sz w:val="20"/>
          <w:szCs w:val="20"/>
        </w:rPr>
        <w:t>1 Knoten = 1 Seemeile pro Stunde</w:t>
      </w:r>
    </w:p>
    <w:p w:rsidR="00F31827" w:rsidRPr="00F31827" w:rsidRDefault="00F31827" w:rsidP="00F31827">
      <w:pPr>
        <w:jc w:val="center"/>
        <w:rPr>
          <w:rFonts w:ascii="Times New Roman" w:hAnsi="Times New Roman" w:cs="Times New Roman"/>
        </w:rPr>
      </w:pPr>
      <w:r w:rsidRPr="00F31827">
        <w:rPr>
          <w:rFonts w:ascii="Times New Roman" w:hAnsi="Times New Roman" w:cs="Times New Roman"/>
        </w:rPr>
        <w:pict>
          <v:rect id="_x0000_i1026" style="width:453.6pt;height:.75pt" o:hralign="center" o:hrstd="t" o:hrnoshade="t" o:hr="t" fillcolor="#aca899" stroked="f"/>
        </w:pict>
      </w:r>
    </w:p>
    <w:p w:rsidR="00F31827" w:rsidRPr="00F31827" w:rsidRDefault="00F31827" w:rsidP="00F31827">
      <w:pPr>
        <w:jc w:val="center"/>
        <w:rPr>
          <w:rFonts w:ascii="Times New Roman" w:hAnsi="Times New Roman" w:cs="Times New Roman"/>
        </w:rPr>
      </w:pPr>
      <w:r w:rsidRPr="00F31827">
        <w:rPr>
          <w:b/>
          <w:bCs/>
        </w:rPr>
        <w:t>D</w:t>
      </w:r>
      <w:r w:rsidRPr="00F31827">
        <w:rPr>
          <w:b/>
          <w:bCs/>
          <w:sz w:val="20"/>
          <w:szCs w:val="20"/>
        </w:rPr>
        <w:t>ie Bezeichnung Knoten stammt aus der Zeit, als auf den Schiffen die Geschwindigkeit mit einem Handlog gemessen wurde.</w:t>
      </w:r>
      <w:r w:rsidRPr="00F31827">
        <w:rPr>
          <w:rFonts w:ascii="Times New Roman" w:hAnsi="Times New Roman" w:cs="Times New Roman"/>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30"/>
        <w:gridCol w:w="5372"/>
      </w:tblGrid>
      <w:tr w:rsidR="00F31827" w:rsidRPr="00F3182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5540B5" w:rsidP="00F31827">
            <w:pPr>
              <w:rPr>
                <w:rFonts w:ascii="Times New Roman" w:hAnsi="Times New Roman" w:cs="Times New Roman"/>
              </w:rPr>
            </w:pPr>
            <w:r>
              <w:rPr>
                <w:rFonts w:ascii="Times New Roman" w:hAnsi="Times New Roman" w:cs="Times New Roman"/>
                <w:noProof/>
              </w:rPr>
              <w:drawing>
                <wp:inline distT="0" distB="0" distL="0" distR="0">
                  <wp:extent cx="2349500" cy="1092200"/>
                  <wp:effectExtent l="0" t="0" r="0" b="0"/>
                  <wp:docPr id="4" name="Bild 4" descr="handlo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log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00" cy="1092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rPr>
              <w:t>D</w:t>
            </w:r>
            <w:r w:rsidRPr="00F31827">
              <w:rPr>
                <w:b/>
                <w:bCs/>
                <w:sz w:val="20"/>
                <w:szCs w:val="20"/>
              </w:rPr>
              <w:t>as Handlog ist ein Gerät zur Messung der Schiffsgeschwindigkeit im Bereich von 2 ... 10 kn. Es besteht aus Logscheit, Logleine mit einer Schiffslänge Vorlauf, Logrolle und Logglas (Loguhr). Wenn das Logglas a Sekunden läuft, muss der Knotenabstand der Logleine a/2 betragen, für ein 14-Sekunden-Glas also 7 m.  Für die Zwecke des Handlogs rechnet man 1 Meridiantertie = 0,5 m. Damit wird das Nachschleppen ausgeglichen, Die Anzahl der auslaufenden Knoten der Logleine während des Ablaufens des Logglases ist gleich der Schiffsgeschwindigkeit in Knoten. Das Verfahren kann auch so abgeändert werden, dass die Sekunden gezählt werden,  während deren eine bestimmte Anzahl Meridiantertien ausläuft.</w:t>
            </w:r>
          </w:p>
        </w:tc>
      </w:tr>
    </w:tbl>
    <w:p w:rsidR="00F31827" w:rsidRPr="00F31827" w:rsidRDefault="00F31827" w:rsidP="00F31827">
      <w:pPr>
        <w:jc w:val="center"/>
        <w:rPr>
          <w:rFonts w:ascii="Times New Roman" w:hAnsi="Times New Roman" w:cs="Times New Roman"/>
        </w:rPr>
      </w:pPr>
      <w:r w:rsidRPr="00F31827">
        <w:rPr>
          <w:b/>
          <w:bCs/>
          <w:sz w:val="20"/>
          <w:szCs w:val="20"/>
        </w:rPr>
        <w:t>Diesem Verfahren liegt folgendes zugrunde:</w:t>
      </w:r>
      <w:r w:rsidRPr="00F31827">
        <w:rPr>
          <w:rFonts w:ascii="Times New Roman" w:hAnsi="Times New Roman" w:cs="Times New Roman"/>
        </w:rPr>
        <w:br/>
      </w:r>
      <w:r w:rsidRPr="00F31827">
        <w:rPr>
          <w:b/>
          <w:bCs/>
          <w:sz w:val="20"/>
          <w:szCs w:val="20"/>
        </w:rPr>
        <w:t>Legt ein Schiff in einer Stunde eine Strecke von 1852 Metern (= 1 sm) zurück, so durchläuft es in einer Sekunde 0,5  (  0,5144 ) Meter. Die Beziehung dieser Strecke zu einer Sekunde oder ein Knotenabstand von 7 ( 6,84 ) Metern zu 14 Sekunden oder einer Seemeile zu einer Stunde sind fast gleich.</w:t>
      </w:r>
      <w:r w:rsidRPr="00F31827">
        <w:rPr>
          <w:rFonts w:ascii="Times New Roman" w:hAnsi="Times New Roman" w:cs="Times New Roman"/>
        </w:rPr>
        <w:t xml:space="preserve"> </w:t>
      </w:r>
    </w:p>
    <w:p w:rsidR="00F31827" w:rsidRPr="00F31827" w:rsidRDefault="00F31827" w:rsidP="00F31827">
      <w:pPr>
        <w:jc w:val="center"/>
        <w:rPr>
          <w:rFonts w:ascii="Times New Roman" w:hAnsi="Times New Roman" w:cs="Times New Roman"/>
        </w:rPr>
      </w:pPr>
      <w:r w:rsidRPr="00F31827">
        <w:rPr>
          <w:rFonts w:ascii="Times New Roman" w:hAnsi="Times New Roman" w:cs="Times New Roman"/>
        </w:rPr>
        <w:pict>
          <v:rect id="_x0000_i1027" style="width:453.6pt;height:.75pt" o:hralign="center" o:hrstd="t" o:hrnoshade="t" o:hr="t" fillcolor="#aca899" stroked="f"/>
        </w:pict>
      </w:r>
    </w:p>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6013"/>
        <w:gridCol w:w="3089"/>
      </w:tblGrid>
      <w:tr w:rsidR="00F31827" w:rsidRPr="00F31827">
        <w:trPr>
          <w:tblCellSpacing w:w="0" w:type="dxa"/>
          <w:jc w:val="center"/>
        </w:trPr>
        <w:tc>
          <w:tcPr>
            <w:tcW w:w="0" w:type="auto"/>
            <w:shd w:val="clear" w:color="auto" w:fill="auto"/>
            <w:vAlign w:val="center"/>
          </w:tcPr>
          <w:p w:rsidR="00F31827" w:rsidRPr="00F31827" w:rsidRDefault="00F31827" w:rsidP="00F31827">
            <w:pPr>
              <w:rPr>
                <w:rFonts w:ascii="Times New Roman" w:hAnsi="Times New Roman" w:cs="Times New Roman"/>
              </w:rPr>
            </w:pPr>
            <w:r w:rsidRPr="00F31827">
              <w:rPr>
                <w:b/>
                <w:bCs/>
              </w:rPr>
              <w:t>Umrechnungstabelle</w:t>
            </w:r>
            <w:r w:rsidRPr="00F31827">
              <w:rPr>
                <w:rFonts w:ascii="Times New Roman" w:hAnsi="Times New Roman" w:cs="Times New Roman"/>
              </w:rPr>
              <w:br/>
            </w:r>
            <w:r w:rsidRPr="00F31827">
              <w:rPr>
                <w:b/>
                <w:bCs/>
              </w:rPr>
              <w:t>Kilometer - Seemeilen - Kilometer</w:t>
            </w:r>
            <w:r w:rsidRPr="00F31827">
              <w:rPr>
                <w:b/>
                <w:bCs/>
                <w:color w:val="FFFFFF"/>
                <w:sz w:val="15"/>
                <w:szCs w:val="15"/>
              </w:rPr>
              <w:t>.</w:t>
            </w:r>
            <w:r w:rsidRPr="00F31827">
              <w:rPr>
                <w:rFonts w:ascii="Times New Roman" w:hAnsi="Times New Roman" w:cs="Times New Roman"/>
              </w:rPr>
              <w:br/>
            </w:r>
            <w:r w:rsidRPr="00F31827">
              <w:rPr>
                <w:b/>
                <w:bCs/>
                <w:sz w:val="20"/>
                <w:szCs w:val="20"/>
              </w:rPr>
              <w:t>Beispiele:</w:t>
            </w:r>
            <w:r w:rsidRPr="00F31827">
              <w:rPr>
                <w:rFonts w:ascii="Times New Roman" w:hAnsi="Times New Roman" w:cs="Times New Roman"/>
              </w:rPr>
              <w:t xml:space="preserve"> </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590"/>
              <w:gridCol w:w="543"/>
              <w:gridCol w:w="2850"/>
            </w:tblGrid>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r>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r>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 sm (mittlere Spalte) </w:t>
                  </w:r>
                </w:p>
              </w:tc>
              <w:tc>
                <w:tcPr>
                  <w:tcW w:w="0" w:type="auto"/>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sind</w:t>
                  </w:r>
                </w:p>
              </w:tc>
              <w:tc>
                <w:tcPr>
                  <w:tcW w:w="0" w:type="auto"/>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1,852 km (linke Spalte)</w:t>
                  </w:r>
                </w:p>
              </w:tc>
            </w:tr>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r>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5 km (mittlere Spalte) </w:t>
                  </w:r>
                </w:p>
              </w:tc>
              <w:tc>
                <w:tcPr>
                  <w:tcW w:w="0" w:type="auto"/>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sind</w:t>
                  </w:r>
                </w:p>
              </w:tc>
              <w:tc>
                <w:tcPr>
                  <w:tcW w:w="0" w:type="auto"/>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2,699 sm (rechte Spalte)</w:t>
                  </w:r>
                </w:p>
              </w:tc>
            </w:tr>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r>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r>
            <w:tr w:rsidR="00F31827" w:rsidRPr="00F31827">
              <w:trPr>
                <w:tblCellSpacing w:w="0" w:type="dxa"/>
              </w:trPr>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c>
                <w:tcPr>
                  <w:tcW w:w="0" w:type="auto"/>
                  <w:shd w:val="clear" w:color="auto" w:fill="auto"/>
                  <w:vAlign w:val="center"/>
                </w:tcPr>
                <w:p w:rsidR="00F31827" w:rsidRPr="00F31827" w:rsidRDefault="00F31827" w:rsidP="00F31827">
                  <w:pPr>
                    <w:rPr>
                      <w:rFonts w:ascii="Times New Roman" w:hAnsi="Times New Roman" w:cs="Times New Roman"/>
                    </w:rPr>
                  </w:pPr>
                </w:p>
              </w:tc>
            </w:tr>
          </w:tbl>
          <w:p w:rsidR="00F31827" w:rsidRPr="00F31827" w:rsidRDefault="00F31827" w:rsidP="00F31827">
            <w:pPr>
              <w:rPr>
                <w:rFonts w:ascii="Times New Roman" w:hAnsi="Times New Roman" w:cs="Times New Roman"/>
              </w:rPr>
            </w:pPr>
          </w:p>
        </w:tc>
        <w:tc>
          <w:tcPr>
            <w:tcW w:w="0" w:type="auto"/>
            <w:shd w:val="clear" w:color="auto" w:fill="auto"/>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96"/>
              <w:gridCol w:w="1456"/>
              <w:gridCol w:w="691"/>
            </w:tblGrid>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km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km oder sm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sm</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1,852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0,539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3,704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1,079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5,556 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1,619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7,408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2,159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9,260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2,699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11,112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3,239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12,964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3,779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14,816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4,319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16,668 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4,859</w:t>
                  </w:r>
                </w:p>
              </w:tc>
            </w:tr>
            <w:tr w:rsidR="00F31827" w:rsidRPr="00F318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18,520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827" w:rsidRPr="00F31827" w:rsidRDefault="00F31827" w:rsidP="00F31827">
                  <w:pPr>
                    <w:rPr>
                      <w:rFonts w:ascii="Times New Roman" w:hAnsi="Times New Roman" w:cs="Times New Roman"/>
                    </w:rPr>
                  </w:pPr>
                  <w:r w:rsidRPr="00F31827">
                    <w:rPr>
                      <w:b/>
                      <w:bCs/>
                      <w:sz w:val="20"/>
                      <w:szCs w:val="20"/>
                    </w:rPr>
                    <w:t>5,399</w:t>
                  </w:r>
                </w:p>
              </w:tc>
            </w:tr>
          </w:tbl>
          <w:p w:rsidR="00F31827" w:rsidRPr="00F31827" w:rsidRDefault="00F31827" w:rsidP="00F31827">
            <w:pPr>
              <w:rPr>
                <w:rFonts w:ascii="Times New Roman" w:hAnsi="Times New Roman" w:cs="Times New Roman"/>
              </w:rPr>
            </w:pPr>
          </w:p>
        </w:tc>
      </w:tr>
    </w:tbl>
    <w:p w:rsidR="00F31827" w:rsidRDefault="00F31827"/>
    <w:sectPr w:rsidR="00F31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27"/>
    <w:rsid w:val="005540B5"/>
    <w:rsid w:val="00F31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Eine Seemeile ist ein nautisches Entfernungs- und Geschwindigkeitsmaß, das aus dem Äquatorumfang der Erde abgeleitet wurde und</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Seemeile ist ein nautisches Entfernungs- und Geschwindigkeitsmaß, das aus dem Äquatorumfang der Erde abgeleitet wurde und</dc:title>
  <dc:creator>Elisabeth</dc:creator>
  <cp:lastModifiedBy>Elisabeth</cp:lastModifiedBy>
  <cp:revision>2</cp:revision>
  <dcterms:created xsi:type="dcterms:W3CDTF">2018-03-09T10:49:00Z</dcterms:created>
  <dcterms:modified xsi:type="dcterms:W3CDTF">2018-03-09T10:49:00Z</dcterms:modified>
</cp:coreProperties>
</file>